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2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1695"/>
      </w:tblGrid>
      <w:tr w:rsidR="008C0878" w:rsidRPr="00F732A0" w14:paraId="1858518A" w14:textId="77777777" w:rsidTr="00D0583E">
        <w:tc>
          <w:tcPr>
            <w:tcW w:w="1687" w:type="dxa"/>
            <w:shd w:val="clear" w:color="auto" w:fill="auto"/>
          </w:tcPr>
          <w:p w14:paraId="06843691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Chair:</w:t>
            </w:r>
          </w:p>
        </w:tc>
        <w:tc>
          <w:tcPr>
            <w:tcW w:w="11695" w:type="dxa"/>
            <w:shd w:val="clear" w:color="auto" w:fill="auto"/>
          </w:tcPr>
          <w:p w14:paraId="192E17EB" w14:textId="2A243912" w:rsidR="008C0878" w:rsidRPr="00190EF6" w:rsidRDefault="00172729" w:rsidP="00EF1DBF">
            <w:pPr>
              <w:spacing w:before="20" w:after="20"/>
              <w:rPr>
                <w:rFonts w:eastAsia="Times New Roman"/>
              </w:rPr>
            </w:pPr>
            <w:r w:rsidRPr="00190EF6">
              <w:t>Bryan Lanier</w:t>
            </w:r>
            <w:r w:rsidR="008C0878" w:rsidRPr="00190EF6">
              <w:t xml:space="preserve">, </w:t>
            </w:r>
            <w:r w:rsidR="00A72C28" w:rsidRPr="00190EF6">
              <w:t>American Tower</w:t>
            </w:r>
            <w:r w:rsidRPr="00190EF6">
              <w:t xml:space="preserve"> Corporation</w:t>
            </w:r>
            <w:r w:rsidR="008C0878" w:rsidRPr="00190EF6">
              <w:t xml:space="preserve">, </w:t>
            </w:r>
            <w:hyperlink r:id="rId10" w:history="1">
              <w:r w:rsidR="001D2991" w:rsidRPr="00190EF6">
                <w:rPr>
                  <w:rStyle w:val="Hyperlink"/>
                </w:rPr>
                <w:t>Bryan.Lanier@AmericanTower.com</w:t>
              </w:r>
            </w:hyperlink>
            <w:r w:rsidR="001D2991" w:rsidRPr="00190EF6">
              <w:t xml:space="preserve"> </w:t>
            </w:r>
          </w:p>
        </w:tc>
      </w:tr>
      <w:tr w:rsidR="004F20C0" w:rsidRPr="00F732A0" w14:paraId="0B05BB69" w14:textId="77777777" w:rsidTr="00D0583E">
        <w:tc>
          <w:tcPr>
            <w:tcW w:w="1687" w:type="dxa"/>
            <w:shd w:val="clear" w:color="auto" w:fill="auto"/>
          </w:tcPr>
          <w:p w14:paraId="7458B0E1" w14:textId="5C66D98C" w:rsidR="004F20C0" w:rsidRPr="00190EF6" w:rsidRDefault="004F20C0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Vice-Chair:</w:t>
            </w:r>
          </w:p>
        </w:tc>
        <w:tc>
          <w:tcPr>
            <w:tcW w:w="11695" w:type="dxa"/>
            <w:shd w:val="clear" w:color="auto" w:fill="auto"/>
          </w:tcPr>
          <w:p w14:paraId="098694C3" w14:textId="1E4D08BB" w:rsidR="004F20C0" w:rsidRPr="00190EF6" w:rsidRDefault="00EB41E8" w:rsidP="00EF1DBF">
            <w:pPr>
              <w:spacing w:before="20" w:after="20"/>
            </w:pPr>
            <w:r w:rsidRPr="00190EF6">
              <w:t>Dave Hawkins</w:t>
            </w:r>
            <w:r w:rsidR="001D2991" w:rsidRPr="00190EF6">
              <w:t>, Paul J</w:t>
            </w:r>
            <w:r w:rsidR="00D42CD4" w:rsidRPr="00190EF6">
              <w:t xml:space="preserve">. Ford &amp; Company, </w:t>
            </w:r>
            <w:hyperlink r:id="rId11" w:history="1">
              <w:r w:rsidR="00D42CD4" w:rsidRPr="00190EF6">
                <w:rPr>
                  <w:rStyle w:val="Hyperlink"/>
                </w:rPr>
                <w:t>dhawkins@pjfweb.com</w:t>
              </w:r>
            </w:hyperlink>
            <w:r w:rsidR="00D42CD4" w:rsidRPr="00190EF6">
              <w:t xml:space="preserve"> </w:t>
            </w:r>
          </w:p>
        </w:tc>
      </w:tr>
      <w:tr w:rsidR="004F20C0" w:rsidRPr="00F732A0" w14:paraId="229F4E85" w14:textId="77777777" w:rsidTr="00D0583E">
        <w:tc>
          <w:tcPr>
            <w:tcW w:w="1687" w:type="dxa"/>
            <w:shd w:val="clear" w:color="auto" w:fill="auto"/>
          </w:tcPr>
          <w:p w14:paraId="78E2F4A7" w14:textId="024FC17C" w:rsidR="004F20C0" w:rsidRPr="00190EF6" w:rsidRDefault="004F20C0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Secretary</w:t>
            </w:r>
          </w:p>
        </w:tc>
        <w:tc>
          <w:tcPr>
            <w:tcW w:w="11695" w:type="dxa"/>
            <w:shd w:val="clear" w:color="auto" w:fill="auto"/>
          </w:tcPr>
          <w:p w14:paraId="35D0B43D" w14:textId="72933162" w:rsidR="004F20C0" w:rsidRPr="00190EF6" w:rsidRDefault="00EB41E8" w:rsidP="00EF1DBF">
            <w:pPr>
              <w:spacing w:before="20" w:after="20"/>
            </w:pPr>
            <w:r w:rsidRPr="00190EF6">
              <w:t>Chris Ply</w:t>
            </w:r>
            <w:r w:rsidR="00D42CD4" w:rsidRPr="00190EF6">
              <w:t xml:space="preserve">, </w:t>
            </w:r>
            <w:r w:rsidR="007764DE" w:rsidRPr="00190EF6">
              <w:t xml:space="preserve">Engineered Tower Solutions, </w:t>
            </w:r>
            <w:hyperlink r:id="rId12" w:history="1">
              <w:r w:rsidR="00634F8F" w:rsidRPr="00190EF6">
                <w:rPr>
                  <w:rStyle w:val="Hyperlink"/>
                </w:rPr>
                <w:t>chris.ply@ets-pllc.com</w:t>
              </w:r>
            </w:hyperlink>
            <w:r w:rsidR="00634F8F" w:rsidRPr="00190EF6">
              <w:t xml:space="preserve"> </w:t>
            </w:r>
          </w:p>
        </w:tc>
      </w:tr>
      <w:tr w:rsidR="008C0878" w:rsidRPr="00F732A0" w14:paraId="06D40079" w14:textId="77777777" w:rsidTr="00D0583E">
        <w:tc>
          <w:tcPr>
            <w:tcW w:w="1687" w:type="dxa"/>
            <w:shd w:val="clear" w:color="auto" w:fill="auto"/>
          </w:tcPr>
          <w:p w14:paraId="0F3CD355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TIA Staff:</w:t>
            </w:r>
          </w:p>
        </w:tc>
        <w:tc>
          <w:tcPr>
            <w:tcW w:w="11695" w:type="dxa"/>
            <w:shd w:val="clear" w:color="auto" w:fill="auto"/>
          </w:tcPr>
          <w:p w14:paraId="2B842033" w14:textId="0DA59619" w:rsidR="008C0878" w:rsidRPr="00190EF6" w:rsidRDefault="00EB41E8" w:rsidP="00EF1DBF">
            <w:pPr>
              <w:spacing w:before="20" w:after="20"/>
            </w:pPr>
            <w:r w:rsidRPr="00190EF6">
              <w:t>Cheryl Thibideau</w:t>
            </w:r>
            <w:r w:rsidR="008C0878" w:rsidRPr="00190EF6">
              <w:t xml:space="preserve">, </w:t>
            </w:r>
            <w:hyperlink r:id="rId13" w:history="1">
              <w:r w:rsidRPr="00190EF6">
                <w:rPr>
                  <w:rStyle w:val="Hyperlink"/>
                </w:rPr>
                <w:t>cthibideau@tiaonline.org</w:t>
              </w:r>
            </w:hyperlink>
            <w:r w:rsidRPr="00190EF6">
              <w:t xml:space="preserve">, cell. </w:t>
            </w:r>
            <w:r w:rsidR="00190EF6" w:rsidRPr="00190EF6">
              <w:t>1-301-938-5909</w:t>
            </w:r>
          </w:p>
        </w:tc>
      </w:tr>
      <w:tr w:rsidR="008C0878" w:rsidRPr="00F732A0" w14:paraId="7B944287" w14:textId="77777777" w:rsidTr="00D0583E">
        <w:tc>
          <w:tcPr>
            <w:tcW w:w="1687" w:type="dxa"/>
            <w:shd w:val="clear" w:color="auto" w:fill="auto"/>
          </w:tcPr>
          <w:p w14:paraId="0E22E16D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Meeting Dates:</w:t>
            </w:r>
          </w:p>
        </w:tc>
        <w:tc>
          <w:tcPr>
            <w:tcW w:w="11695" w:type="dxa"/>
            <w:shd w:val="clear" w:color="auto" w:fill="auto"/>
          </w:tcPr>
          <w:p w14:paraId="6B2EC04D" w14:textId="3118387F" w:rsidR="008C0878" w:rsidRPr="00190EF6" w:rsidRDefault="00990E30" w:rsidP="00EF1DBF">
            <w:pPr>
              <w:spacing w:before="20" w:after="20"/>
              <w:rPr>
                <w:rFonts w:eastAsia="Times New Roman"/>
                <w:b/>
              </w:rPr>
            </w:pPr>
            <w:r>
              <w:rPr>
                <w:b/>
              </w:rPr>
              <w:t>May 17-18, 2023</w:t>
            </w:r>
          </w:p>
        </w:tc>
      </w:tr>
      <w:tr w:rsidR="008C0878" w:rsidRPr="00F732A0" w14:paraId="76FE2B8F" w14:textId="77777777" w:rsidTr="00D0583E">
        <w:tc>
          <w:tcPr>
            <w:tcW w:w="1687" w:type="dxa"/>
            <w:shd w:val="clear" w:color="auto" w:fill="auto"/>
          </w:tcPr>
          <w:p w14:paraId="01C93F4A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Time:</w:t>
            </w:r>
          </w:p>
        </w:tc>
        <w:tc>
          <w:tcPr>
            <w:tcW w:w="11695" w:type="dxa"/>
            <w:shd w:val="clear" w:color="auto" w:fill="auto"/>
          </w:tcPr>
          <w:p w14:paraId="208DB24E" w14:textId="77777777" w:rsidR="008C0878" w:rsidRPr="00190EF6" w:rsidRDefault="008C0878" w:rsidP="00EF1DBF">
            <w:pPr>
              <w:spacing w:before="20" w:after="20"/>
              <w:rPr>
                <w:rFonts w:eastAsia="Times New Roman"/>
              </w:rPr>
            </w:pPr>
            <w:r w:rsidRPr="00190EF6">
              <w:rPr>
                <w:rFonts w:eastAsia="Times New Roman"/>
              </w:rPr>
              <w:t>See Meeting Schedule</w:t>
            </w:r>
          </w:p>
        </w:tc>
      </w:tr>
      <w:tr w:rsidR="008C0878" w:rsidRPr="00F732A0" w14:paraId="4D089F2C" w14:textId="77777777" w:rsidTr="00D0583E">
        <w:tc>
          <w:tcPr>
            <w:tcW w:w="1687" w:type="dxa"/>
            <w:shd w:val="clear" w:color="auto" w:fill="auto"/>
          </w:tcPr>
          <w:p w14:paraId="0FD9F9E6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Location:</w:t>
            </w:r>
          </w:p>
        </w:tc>
        <w:tc>
          <w:tcPr>
            <w:tcW w:w="11695" w:type="dxa"/>
            <w:shd w:val="clear" w:color="auto" w:fill="auto"/>
          </w:tcPr>
          <w:p w14:paraId="3854A43A" w14:textId="293EAFF3" w:rsidR="008C0878" w:rsidRDefault="00990E30" w:rsidP="00EF1DB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Renaissance Tulsa Hotel &amp; Convention Center</w:t>
            </w:r>
          </w:p>
          <w:p w14:paraId="64F0BA0B" w14:textId="39A400D9" w:rsidR="00D10B6E" w:rsidRPr="00D65D11" w:rsidRDefault="00F2401E" w:rsidP="00EF1DBF">
            <w:pPr>
              <w:rPr>
                <w:rFonts w:eastAsia="Batang"/>
                <w:bCs/>
              </w:rPr>
            </w:pPr>
            <w:r w:rsidRPr="00D65D11">
              <w:rPr>
                <w:rFonts w:eastAsia="Batang"/>
                <w:bCs/>
              </w:rPr>
              <w:t>68</w:t>
            </w:r>
            <w:r w:rsidR="005D5270" w:rsidRPr="00D65D11">
              <w:rPr>
                <w:rFonts w:eastAsia="Batang"/>
                <w:bCs/>
              </w:rPr>
              <w:t>08 South 107</w:t>
            </w:r>
            <w:r w:rsidR="005D5270" w:rsidRPr="00D65D11">
              <w:rPr>
                <w:rFonts w:eastAsia="Batang"/>
                <w:bCs/>
                <w:vertAlign w:val="superscript"/>
              </w:rPr>
              <w:t>th</w:t>
            </w:r>
            <w:r w:rsidR="005D5270" w:rsidRPr="00D65D11">
              <w:rPr>
                <w:rFonts w:eastAsia="Batang"/>
                <w:bCs/>
              </w:rPr>
              <w:t xml:space="preserve"> East Avenue</w:t>
            </w:r>
          </w:p>
          <w:p w14:paraId="32E26761" w14:textId="77777777" w:rsidR="008C0878" w:rsidRDefault="005D5270" w:rsidP="00EF1DBF">
            <w:pPr>
              <w:rPr>
                <w:rFonts w:eastAsia="Batang"/>
              </w:rPr>
            </w:pPr>
            <w:r>
              <w:rPr>
                <w:rFonts w:eastAsia="Batang"/>
              </w:rPr>
              <w:t>Tulsa, OK 74133</w:t>
            </w:r>
          </w:p>
          <w:p w14:paraId="465690AE" w14:textId="77777777" w:rsidR="005D5270" w:rsidRDefault="005D5270" w:rsidP="00EF1DBF">
            <w:pPr>
              <w:rPr>
                <w:rFonts w:eastAsia="Batang"/>
              </w:rPr>
            </w:pPr>
            <w:r>
              <w:rPr>
                <w:rFonts w:eastAsia="Batang"/>
              </w:rPr>
              <w:t>Tel. 918-307-2600</w:t>
            </w:r>
          </w:p>
          <w:p w14:paraId="61FD49E4" w14:textId="58BB1228" w:rsidR="005D5270" w:rsidRPr="00D65D11" w:rsidRDefault="005D5270" w:rsidP="00EF1DBF">
            <w:r>
              <w:rPr>
                <w:rFonts w:eastAsia="Batang"/>
              </w:rPr>
              <w:t xml:space="preserve">Website: </w:t>
            </w:r>
            <w:hyperlink r:id="rId14" w:history="1">
              <w:r w:rsidR="006714B9">
                <w:rPr>
                  <w:rStyle w:val="Hyperlink"/>
                </w:rPr>
                <w:t>Renaissance Tulsa Hotel &amp; Convention Center</w:t>
              </w:r>
            </w:hyperlink>
            <w:r w:rsidR="00D65D11">
              <w:t xml:space="preserve"> </w:t>
            </w:r>
          </w:p>
        </w:tc>
      </w:tr>
      <w:tr w:rsidR="008C0878" w:rsidRPr="00F732A0" w14:paraId="1B3BFE77" w14:textId="77777777" w:rsidTr="00D0583E">
        <w:tc>
          <w:tcPr>
            <w:tcW w:w="1687" w:type="dxa"/>
            <w:shd w:val="clear" w:color="auto" w:fill="auto"/>
          </w:tcPr>
          <w:p w14:paraId="5ECF31AD" w14:textId="40C9239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Meeting Room</w:t>
            </w:r>
            <w:r w:rsidR="00057A11" w:rsidRPr="00190EF6">
              <w:rPr>
                <w:rFonts w:eastAsia="Times New Roman"/>
                <w:b/>
              </w:rPr>
              <w:t>s</w:t>
            </w:r>
            <w:r w:rsidRPr="00190EF6">
              <w:rPr>
                <w:rFonts w:eastAsia="Times New Roman"/>
                <w:b/>
              </w:rPr>
              <w:t>:</w:t>
            </w:r>
          </w:p>
        </w:tc>
        <w:tc>
          <w:tcPr>
            <w:tcW w:w="11695" w:type="dxa"/>
            <w:shd w:val="clear" w:color="auto" w:fill="auto"/>
          </w:tcPr>
          <w:p w14:paraId="1FC17832" w14:textId="0619E5AD" w:rsidR="00365A44" w:rsidRDefault="00FD3E83" w:rsidP="00FD3E83">
            <w:pPr>
              <w:spacing w:before="20" w:after="20"/>
              <w:rPr>
                <w:rFonts w:eastAsia="Batang"/>
              </w:rPr>
            </w:pPr>
            <w:r>
              <w:rPr>
                <w:rFonts w:eastAsia="Batang"/>
              </w:rPr>
              <w:t>Registration “</w:t>
            </w:r>
            <w:r w:rsidR="00DB1936">
              <w:rPr>
                <w:rFonts w:eastAsia="Batang"/>
              </w:rPr>
              <w:t>Madrid Prefunction</w:t>
            </w:r>
            <w:r>
              <w:rPr>
                <w:rFonts w:eastAsia="Batang"/>
              </w:rPr>
              <w:t>”</w:t>
            </w:r>
          </w:p>
          <w:p w14:paraId="71B02006" w14:textId="2A8CCD81" w:rsidR="0035685B" w:rsidRPr="00190EF6" w:rsidRDefault="0035685B" w:rsidP="00EF1DBF">
            <w:pPr>
              <w:spacing w:before="20" w:after="20"/>
              <w:rPr>
                <w:rFonts w:eastAsia="Batang"/>
              </w:rPr>
            </w:pPr>
            <w:r>
              <w:rPr>
                <w:rFonts w:eastAsia="Batang"/>
              </w:rPr>
              <w:t>General Session “</w:t>
            </w:r>
            <w:r w:rsidR="005F374B">
              <w:rPr>
                <w:rFonts w:eastAsia="Batang"/>
              </w:rPr>
              <w:t>Madrid I-II</w:t>
            </w:r>
            <w:r>
              <w:rPr>
                <w:rFonts w:eastAsia="Batang"/>
              </w:rPr>
              <w:t>”</w:t>
            </w:r>
          </w:p>
          <w:p w14:paraId="74E1F334" w14:textId="7FAD2D1D" w:rsidR="008C0878" w:rsidRPr="00190EF6" w:rsidRDefault="009124CD" w:rsidP="00EF1DBF">
            <w:pPr>
              <w:spacing w:before="20" w:after="20"/>
              <w:rPr>
                <w:rFonts w:eastAsia="Batang"/>
              </w:rPr>
            </w:pPr>
            <w:r>
              <w:rPr>
                <w:rFonts w:eastAsia="Batang"/>
              </w:rPr>
              <w:t xml:space="preserve">All </w:t>
            </w:r>
            <w:r w:rsidR="008C0878" w:rsidRPr="00190EF6">
              <w:rPr>
                <w:rFonts w:eastAsia="Batang"/>
              </w:rPr>
              <w:t xml:space="preserve">meeting rooms are </w:t>
            </w:r>
            <w:r>
              <w:rPr>
                <w:rFonts w:eastAsia="Batang"/>
              </w:rPr>
              <w:t xml:space="preserve">located on </w:t>
            </w:r>
            <w:r w:rsidR="008C0878" w:rsidRPr="00190EF6">
              <w:rPr>
                <w:rFonts w:eastAsia="Batang"/>
              </w:rPr>
              <w:t xml:space="preserve">the </w:t>
            </w:r>
            <w:r w:rsidR="00EA51C7">
              <w:rPr>
                <w:rFonts w:eastAsia="Batang"/>
              </w:rPr>
              <w:t xml:space="preserve">lobby </w:t>
            </w:r>
            <w:r w:rsidR="00891C17">
              <w:rPr>
                <w:rFonts w:eastAsia="Batang"/>
              </w:rPr>
              <w:t xml:space="preserve">level </w:t>
            </w:r>
            <w:r w:rsidR="008C0878" w:rsidRPr="00190EF6">
              <w:rPr>
                <w:rFonts w:eastAsia="Batang"/>
              </w:rPr>
              <w:t>of the hotel</w:t>
            </w:r>
          </w:p>
        </w:tc>
      </w:tr>
      <w:tr w:rsidR="008C0878" w:rsidRPr="008C542D" w14:paraId="5156A1D1" w14:textId="77777777" w:rsidTr="00D0583E">
        <w:tc>
          <w:tcPr>
            <w:tcW w:w="1687" w:type="dxa"/>
            <w:shd w:val="clear" w:color="auto" w:fill="auto"/>
          </w:tcPr>
          <w:p w14:paraId="679DD659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Room Rate:</w:t>
            </w:r>
          </w:p>
        </w:tc>
        <w:tc>
          <w:tcPr>
            <w:tcW w:w="11695" w:type="dxa"/>
            <w:shd w:val="clear" w:color="auto" w:fill="auto"/>
          </w:tcPr>
          <w:p w14:paraId="2D34FA3C" w14:textId="5C2782C6" w:rsidR="008C0878" w:rsidRPr="00190EF6" w:rsidRDefault="008C0878" w:rsidP="00EF1DBF">
            <w:pPr>
              <w:spacing w:before="20" w:after="20"/>
              <w:rPr>
                <w:rFonts w:eastAsia="Batang"/>
              </w:rPr>
            </w:pPr>
            <w:r w:rsidRPr="00190EF6">
              <w:rPr>
                <w:rFonts w:eastAsia="Batang"/>
                <w:b/>
              </w:rPr>
              <w:t>$</w:t>
            </w:r>
            <w:r w:rsidR="00F64385">
              <w:rPr>
                <w:rFonts w:eastAsia="Batang"/>
                <w:b/>
              </w:rPr>
              <w:t>139</w:t>
            </w:r>
            <w:r w:rsidRPr="00190EF6">
              <w:rPr>
                <w:rFonts w:eastAsia="Batang"/>
              </w:rPr>
              <w:t>/single or double (plus all applicable taxes)</w:t>
            </w:r>
          </w:p>
          <w:p w14:paraId="6470AAD5" w14:textId="3781EF94" w:rsidR="008C0878" w:rsidRPr="00190EF6" w:rsidRDefault="0038590E" w:rsidP="00EF1DBF">
            <w:pPr>
              <w:spacing w:before="20" w:after="20"/>
              <w:rPr>
                <w:rFonts w:eastAsia="Batang"/>
              </w:rPr>
            </w:pPr>
            <w:r>
              <w:rPr>
                <w:rFonts w:eastAsia="Batang"/>
              </w:rPr>
              <w:t xml:space="preserve">Hotel registration is open </w:t>
            </w:r>
            <w:r w:rsidR="00B4681D" w:rsidRPr="00B4681D">
              <w:rPr>
                <w:rFonts w:eastAsia="Batang"/>
                <w:b/>
                <w:bCs/>
              </w:rPr>
              <w:t>NOW</w:t>
            </w:r>
            <w:r>
              <w:rPr>
                <w:rFonts w:eastAsia="Batang"/>
              </w:rPr>
              <w:t xml:space="preserve"> until </w:t>
            </w:r>
            <w:r w:rsidR="00396EC7" w:rsidRPr="00F64385">
              <w:rPr>
                <w:rFonts w:eastAsia="Batang"/>
                <w:b/>
                <w:bCs/>
              </w:rPr>
              <w:t>April 24</w:t>
            </w:r>
            <w:r w:rsidR="00D77A15" w:rsidRPr="00F64385">
              <w:rPr>
                <w:rFonts w:eastAsia="Batang"/>
                <w:b/>
                <w:bCs/>
              </w:rPr>
              <w:t>,</w:t>
            </w:r>
            <w:r w:rsidR="00B4681D" w:rsidRPr="00F64385">
              <w:rPr>
                <w:rFonts w:eastAsia="Batang"/>
                <w:b/>
                <w:bCs/>
              </w:rPr>
              <w:t xml:space="preserve"> </w:t>
            </w:r>
            <w:r w:rsidR="00396EC7" w:rsidRPr="00F64385">
              <w:rPr>
                <w:rFonts w:eastAsia="Batang"/>
                <w:b/>
                <w:bCs/>
              </w:rPr>
              <w:t>2023</w:t>
            </w:r>
            <w:r w:rsidR="00396EC7">
              <w:rPr>
                <w:rFonts w:eastAsia="Batang"/>
              </w:rPr>
              <w:t xml:space="preserve">, </w:t>
            </w:r>
            <w:r w:rsidR="00B4681D">
              <w:rPr>
                <w:rFonts w:eastAsia="Batang"/>
              </w:rPr>
              <w:t>and</w:t>
            </w:r>
            <w:r w:rsidR="001D05B4">
              <w:rPr>
                <w:rFonts w:eastAsia="Batang"/>
              </w:rPr>
              <w:t xml:space="preserve"> is </w:t>
            </w:r>
            <w:r w:rsidR="008C0878" w:rsidRPr="00190EF6">
              <w:rPr>
                <w:rFonts w:eastAsia="Batang"/>
              </w:rPr>
              <w:t>subject to availability.</w:t>
            </w:r>
          </w:p>
        </w:tc>
      </w:tr>
      <w:tr w:rsidR="008C0878" w:rsidRPr="002E234E" w14:paraId="3178903E" w14:textId="77777777" w:rsidTr="00D0583E">
        <w:tc>
          <w:tcPr>
            <w:tcW w:w="1687" w:type="dxa"/>
            <w:shd w:val="clear" w:color="auto" w:fill="auto"/>
          </w:tcPr>
          <w:p w14:paraId="038AB31C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Reservation Information:</w:t>
            </w:r>
          </w:p>
        </w:tc>
        <w:tc>
          <w:tcPr>
            <w:tcW w:w="11695" w:type="dxa"/>
            <w:shd w:val="clear" w:color="auto" w:fill="auto"/>
          </w:tcPr>
          <w:p w14:paraId="5088140A" w14:textId="276EF4F9" w:rsidR="00E1757A" w:rsidRPr="00E1757A" w:rsidRDefault="00E1757A" w:rsidP="00DD1555">
            <w:pPr>
              <w:pStyle w:val="baseStyle"/>
              <w:spacing w:before="240" w:after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E1757A">
              <w:rPr>
                <w:rStyle w:val="Strong"/>
                <w:rFonts w:asciiTheme="minorHAnsi" w:hAnsiTheme="minorHAnsi" w:cstheme="minorHAnsi"/>
                <w:color w:val="201F1E"/>
                <w:sz w:val="22"/>
                <w:szCs w:val="22"/>
              </w:rPr>
              <w:t>Booking Link:</w:t>
            </w:r>
            <w:r w:rsidR="00EB5AD3">
              <w:rPr>
                <w:rStyle w:val="Strong"/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hyperlink r:id="rId15" w:tgtFrame="_blank" w:history="1">
              <w:r w:rsidR="00EB5AD3" w:rsidRPr="00CE2559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Book your group rate for TR-14</w:t>
              </w:r>
            </w:hyperlink>
          </w:p>
          <w:p w14:paraId="504A7300" w14:textId="5E7BB1D4" w:rsidR="00DD1555" w:rsidRPr="00190EF6" w:rsidRDefault="00DD1555" w:rsidP="00DD1555">
            <w:pPr>
              <w:pStyle w:val="baseStyle"/>
              <w:spacing w:before="240" w:after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190EF6">
              <w:rPr>
                <w:rFonts w:ascii="Calibri" w:hAnsi="Calibri" w:cs="Calibri"/>
                <w:noProof w:val="0"/>
                <w:sz w:val="22"/>
                <w:szCs w:val="22"/>
              </w:rPr>
              <w:t>You may also phone in your reservation by calling:</w:t>
            </w:r>
            <w:r w:rsidR="00787626">
              <w:rPr>
                <w:rFonts w:ascii="Calibri" w:hAnsi="Calibri" w:cs="Calibri"/>
                <w:noProof w:val="0"/>
                <w:sz w:val="22"/>
                <w:szCs w:val="22"/>
              </w:rPr>
              <w:t xml:space="preserve"> </w:t>
            </w:r>
            <w:r w:rsidR="00845F33" w:rsidRPr="00845F3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918-307-2600</w:t>
            </w:r>
          </w:p>
          <w:p w14:paraId="67CCA8E7" w14:textId="2463AC8D" w:rsidR="008C0878" w:rsidRPr="00902F62" w:rsidRDefault="00DD1555" w:rsidP="00DD1555">
            <w:pPr>
              <w:pStyle w:val="baseStyle"/>
              <w:spacing w:before="24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90EF6">
              <w:rPr>
                <w:rFonts w:ascii="Calibri" w:hAnsi="Calibri" w:cs="Calibri"/>
                <w:noProof w:val="0"/>
                <w:sz w:val="22"/>
                <w:szCs w:val="22"/>
              </w:rPr>
              <w:t>Please be sure and reference “TIA TR-14” to ensure you’re included in our room block and receive the contracted rate.</w:t>
            </w:r>
          </w:p>
        </w:tc>
      </w:tr>
      <w:tr w:rsidR="008C0878" w:rsidRPr="002E234E" w14:paraId="2BD23713" w14:textId="77777777" w:rsidTr="00D0583E">
        <w:tc>
          <w:tcPr>
            <w:tcW w:w="1687" w:type="dxa"/>
            <w:shd w:val="clear" w:color="auto" w:fill="auto"/>
          </w:tcPr>
          <w:p w14:paraId="79426AB2" w14:textId="77777777" w:rsidR="008C0878" w:rsidRPr="00190EF6" w:rsidRDefault="008C0878" w:rsidP="00EF1DBF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lastRenderedPageBreak/>
              <w:t>Cut-Off:</w:t>
            </w:r>
          </w:p>
        </w:tc>
        <w:tc>
          <w:tcPr>
            <w:tcW w:w="11695" w:type="dxa"/>
            <w:shd w:val="clear" w:color="auto" w:fill="auto"/>
          </w:tcPr>
          <w:p w14:paraId="04041625" w14:textId="7B5DE3CF" w:rsidR="008C0878" w:rsidRPr="00190EF6" w:rsidRDefault="00AD21CF" w:rsidP="00EF1DBF">
            <w:pPr>
              <w:spacing w:before="20" w:after="20"/>
              <w:rPr>
                <w:rFonts w:eastAsia="Batang"/>
                <w:b/>
                <w:i/>
              </w:rPr>
            </w:pPr>
            <w:r>
              <w:rPr>
                <w:rFonts w:eastAsia="Times New Roman"/>
                <w:b/>
              </w:rPr>
              <w:t xml:space="preserve">Monday, </w:t>
            </w:r>
            <w:r w:rsidR="00310B3A">
              <w:rPr>
                <w:rFonts w:eastAsia="Times New Roman"/>
                <w:b/>
              </w:rPr>
              <w:t>April 24</w:t>
            </w:r>
            <w:r w:rsidR="00A0730B" w:rsidRPr="00190EF6">
              <w:rPr>
                <w:rFonts w:eastAsia="Times New Roman"/>
                <w:b/>
              </w:rPr>
              <w:t>, 202</w:t>
            </w:r>
            <w:r w:rsidR="00B555DA">
              <w:rPr>
                <w:rFonts w:eastAsia="Times New Roman"/>
                <w:b/>
              </w:rPr>
              <w:t>3</w:t>
            </w:r>
          </w:p>
        </w:tc>
      </w:tr>
      <w:tr w:rsidR="00A27E63" w:rsidRPr="00015B71" w14:paraId="1358F8C6" w14:textId="77777777" w:rsidTr="00D0583E">
        <w:tc>
          <w:tcPr>
            <w:tcW w:w="1687" w:type="dxa"/>
            <w:shd w:val="clear" w:color="auto" w:fill="auto"/>
          </w:tcPr>
          <w:p w14:paraId="3A979F22" w14:textId="08149D5E" w:rsidR="00A27E63" w:rsidRPr="00190EF6" w:rsidRDefault="00A27E63" w:rsidP="00A27E63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Check-In/Check-Out</w:t>
            </w:r>
            <w:r w:rsidR="004B0FB2">
              <w:rPr>
                <w:rFonts w:eastAsia="Times New Roman"/>
                <w:b/>
              </w:rPr>
              <w:t>:</w:t>
            </w:r>
          </w:p>
        </w:tc>
        <w:tc>
          <w:tcPr>
            <w:tcW w:w="11695" w:type="dxa"/>
            <w:shd w:val="clear" w:color="auto" w:fill="auto"/>
          </w:tcPr>
          <w:p w14:paraId="29509460" w14:textId="58D10DF5" w:rsidR="00A27E63" w:rsidRPr="00190EF6" w:rsidRDefault="00A27E63" w:rsidP="00A27E63">
            <w:pPr>
              <w:spacing w:before="20" w:after="20"/>
              <w:jc w:val="both"/>
            </w:pPr>
            <w:r w:rsidRPr="00190EF6">
              <w:t xml:space="preserve">Check-in time is </w:t>
            </w:r>
            <w:r>
              <w:t>4</w:t>
            </w:r>
            <w:r w:rsidRPr="00190EF6">
              <w:t>:00</w:t>
            </w:r>
            <w:r>
              <w:t xml:space="preserve"> </w:t>
            </w:r>
            <w:r w:rsidRPr="00190EF6">
              <w:t>pm (local)</w:t>
            </w:r>
            <w:r>
              <w:t xml:space="preserve"> and c</w:t>
            </w:r>
            <w:r w:rsidRPr="00190EF6">
              <w:t>heck-out time is 1</w:t>
            </w:r>
            <w:r>
              <w:t>1:00 am</w:t>
            </w:r>
            <w:r w:rsidRPr="00190EF6">
              <w:t xml:space="preserve"> (local)</w:t>
            </w:r>
            <w:r>
              <w:t>. The hotel would appreciate receiving flight arrival times when booking reservations. Any late check-out requests will be reviewed based on hotel demand on the day of departure and attendees should inquire directly at the front desk. Should the hotel allow for late check-out, the hotel may impose a half day rate.</w:t>
            </w:r>
          </w:p>
        </w:tc>
      </w:tr>
      <w:tr w:rsidR="00A27E63" w:rsidRPr="0041680A" w14:paraId="68A9568E" w14:textId="77777777" w:rsidTr="00D0583E">
        <w:tc>
          <w:tcPr>
            <w:tcW w:w="1687" w:type="dxa"/>
            <w:shd w:val="clear" w:color="auto" w:fill="auto"/>
          </w:tcPr>
          <w:p w14:paraId="79552E5D" w14:textId="4E39523C" w:rsidR="00A27E63" w:rsidRPr="00190EF6" w:rsidRDefault="00A27E63" w:rsidP="00A27E63">
            <w:pPr>
              <w:spacing w:before="20" w:after="20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Transportation</w:t>
            </w:r>
            <w:r w:rsidR="004B0FB2">
              <w:rPr>
                <w:rFonts w:eastAsia="Times New Roman"/>
                <w:b/>
              </w:rPr>
              <w:t>:</w:t>
            </w:r>
          </w:p>
        </w:tc>
        <w:tc>
          <w:tcPr>
            <w:tcW w:w="11695" w:type="dxa"/>
            <w:shd w:val="clear" w:color="auto" w:fill="auto"/>
          </w:tcPr>
          <w:p w14:paraId="53E08DB6" w14:textId="02D1B9FA" w:rsidR="00A27E63" w:rsidRPr="00190EF6" w:rsidRDefault="00A27E63" w:rsidP="00A27E63">
            <w:pPr>
              <w:spacing w:before="20" w:after="20"/>
              <w:jc w:val="both"/>
            </w:pPr>
            <w:r>
              <w:t>The closest airport is Tulsa International Airport. It is 10.9 miles from the Hotel. The hotel does not offer a complimentary airport shuttle service. Estimated cost for taxi is $20.</w:t>
            </w:r>
          </w:p>
        </w:tc>
      </w:tr>
      <w:tr w:rsidR="00D13279" w:rsidRPr="0041680A" w14:paraId="0F9C3E4A" w14:textId="77777777" w:rsidTr="00D0583E">
        <w:tc>
          <w:tcPr>
            <w:tcW w:w="1687" w:type="dxa"/>
            <w:shd w:val="clear" w:color="auto" w:fill="auto"/>
          </w:tcPr>
          <w:p w14:paraId="4E8B17D1" w14:textId="4FA77C13" w:rsidR="00D13279" w:rsidRDefault="00D13279" w:rsidP="00A27E63">
            <w:pPr>
              <w:spacing w:before="20" w:after="20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Hotel Services:</w:t>
            </w:r>
          </w:p>
        </w:tc>
        <w:tc>
          <w:tcPr>
            <w:tcW w:w="11695" w:type="dxa"/>
            <w:shd w:val="clear" w:color="auto" w:fill="auto"/>
          </w:tcPr>
          <w:p w14:paraId="0FD3C7D9" w14:textId="77777777" w:rsidR="00D13279" w:rsidRDefault="00D13279" w:rsidP="00A27E63">
            <w:pPr>
              <w:spacing w:before="20" w:after="20"/>
              <w:jc w:val="both"/>
            </w:pPr>
            <w:r>
              <w:t>The hotel offers the following:</w:t>
            </w:r>
          </w:p>
          <w:p w14:paraId="1A4FE2E4" w14:textId="7B37FD80" w:rsidR="00D13279" w:rsidRDefault="00D13279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Room service</w:t>
            </w:r>
            <w:r w:rsidR="00345313">
              <w:t xml:space="preserve"> (24 hours)</w:t>
            </w:r>
          </w:p>
          <w:p w14:paraId="6FBCD065" w14:textId="77777777" w:rsidR="00D13279" w:rsidRDefault="00201BB3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On-site Coffee shop</w:t>
            </w:r>
          </w:p>
          <w:p w14:paraId="75C43541" w14:textId="77777777" w:rsidR="00201BB3" w:rsidRDefault="00201BB3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On-site restaurant open for breakfast (6-10am) and dinner (</w:t>
            </w:r>
            <w:r w:rsidR="00C84B02">
              <w:t>5-10pm)</w:t>
            </w:r>
          </w:p>
          <w:p w14:paraId="6C5E3342" w14:textId="3CB97679" w:rsidR="00C84B02" w:rsidRDefault="00C84B02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On-site bar</w:t>
            </w:r>
            <w:r w:rsidR="00FA3214">
              <w:t xml:space="preserve"> (4-11pm)</w:t>
            </w:r>
          </w:p>
          <w:p w14:paraId="16D935AE" w14:textId="77777777" w:rsidR="00C84B02" w:rsidRDefault="00C84B02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Swimming pool</w:t>
            </w:r>
          </w:p>
          <w:p w14:paraId="7BA9E39A" w14:textId="432BB073" w:rsidR="00C84B02" w:rsidRDefault="00C84B02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 xml:space="preserve">Fitness </w:t>
            </w:r>
            <w:r w:rsidR="00FA3214">
              <w:t>center</w:t>
            </w:r>
          </w:p>
          <w:p w14:paraId="7E1D1054" w14:textId="6A9F8423" w:rsidR="00FA3214" w:rsidRDefault="00FA3214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Jogging path</w:t>
            </w:r>
          </w:p>
          <w:p w14:paraId="491D99A6" w14:textId="552D3A8A" w:rsidR="00FA3214" w:rsidRPr="00B90458" w:rsidRDefault="00FA3214" w:rsidP="00D13279">
            <w:pPr>
              <w:pStyle w:val="ListParagraph"/>
              <w:numPr>
                <w:ilvl w:val="0"/>
                <w:numId w:val="17"/>
              </w:numPr>
              <w:spacing w:before="20" w:after="20"/>
              <w:jc w:val="both"/>
            </w:pPr>
            <w:r>
              <w:t>Business center</w:t>
            </w:r>
          </w:p>
        </w:tc>
      </w:tr>
      <w:tr w:rsidR="000529C0" w:rsidRPr="0041680A" w14:paraId="23A19CB5" w14:textId="77777777" w:rsidTr="00D0583E">
        <w:tc>
          <w:tcPr>
            <w:tcW w:w="1687" w:type="dxa"/>
            <w:shd w:val="clear" w:color="auto" w:fill="auto"/>
          </w:tcPr>
          <w:p w14:paraId="3F6EFD7C" w14:textId="11C85A35" w:rsidR="000529C0" w:rsidRPr="00190EF6" w:rsidRDefault="004B0FB2" w:rsidP="00A27E63">
            <w:pPr>
              <w:spacing w:before="20" w:after="20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Guest Room Charges:</w:t>
            </w:r>
          </w:p>
        </w:tc>
        <w:tc>
          <w:tcPr>
            <w:tcW w:w="11695" w:type="dxa"/>
            <w:shd w:val="clear" w:color="auto" w:fill="auto"/>
          </w:tcPr>
          <w:p w14:paraId="1FFF63BA" w14:textId="5E640236" w:rsidR="000529C0" w:rsidRPr="00190EF6" w:rsidRDefault="00DD3AF8" w:rsidP="00A27E63">
            <w:pPr>
              <w:spacing w:before="20" w:after="20"/>
              <w:jc w:val="both"/>
            </w:pPr>
            <w:r w:rsidRPr="001E69BF">
              <w:t>Each guest will pay for his or her account upon departure. When reservations are made, a deposit equal to the room rate and tax for the first night for each reservation</w:t>
            </w:r>
            <w:r>
              <w:t xml:space="preserve"> is required</w:t>
            </w:r>
            <w:r w:rsidRPr="001E69BF">
              <w:t xml:space="preserve">.  An individual’s deposit is refundable to that individual only in accordance with the </w:t>
            </w:r>
            <w:r>
              <w:t>h</w:t>
            </w:r>
            <w:r w:rsidRPr="001E69BF">
              <w:t>otel’s standard guest cancellation policy</w:t>
            </w:r>
            <w:r>
              <w:t>.</w:t>
            </w:r>
            <w:r w:rsidRPr="001E69BF">
              <w:t xml:space="preserve"> Each guest will be required to present a valid credit card upon check-in on which an amount of sufficient pre-authorization can be obtained to cover the room, parking, and tax charges for the length of the guest’s stay, plus any charges for the guest’s use of the </w:t>
            </w:r>
            <w:r>
              <w:t>h</w:t>
            </w:r>
            <w:r w:rsidRPr="001E69BF">
              <w:t>otel’s ancillary services.</w:t>
            </w:r>
          </w:p>
        </w:tc>
      </w:tr>
      <w:tr w:rsidR="00A27E63" w:rsidRPr="0041680A" w14:paraId="0CB501AF" w14:textId="77777777" w:rsidTr="00D0583E">
        <w:tc>
          <w:tcPr>
            <w:tcW w:w="1687" w:type="dxa"/>
            <w:shd w:val="clear" w:color="auto" w:fill="auto"/>
          </w:tcPr>
          <w:p w14:paraId="574C8BDC" w14:textId="77777777" w:rsidR="00A27E63" w:rsidRPr="00190EF6" w:rsidRDefault="00A27E63" w:rsidP="00A27E63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t>Cancellation Policy:</w:t>
            </w:r>
          </w:p>
        </w:tc>
        <w:tc>
          <w:tcPr>
            <w:tcW w:w="11695" w:type="dxa"/>
            <w:shd w:val="clear" w:color="auto" w:fill="auto"/>
          </w:tcPr>
          <w:p w14:paraId="2E9E5F26" w14:textId="4E11A18D" w:rsidR="00A27E63" w:rsidRPr="00190EF6" w:rsidRDefault="00965DB7" w:rsidP="00A27E63">
            <w:pPr>
              <w:spacing w:before="20" w:after="20"/>
              <w:jc w:val="both"/>
            </w:pPr>
            <w:r w:rsidRPr="00190EF6">
              <w:t xml:space="preserve">No penalty for reservations cancelled up to </w:t>
            </w:r>
            <w:r>
              <w:t>48</w:t>
            </w:r>
            <w:r w:rsidRPr="00190EF6">
              <w:t xml:space="preserve"> hours before check-in.</w:t>
            </w:r>
          </w:p>
        </w:tc>
      </w:tr>
      <w:tr w:rsidR="00A27E63" w:rsidRPr="00015B71" w14:paraId="1C9439BF" w14:textId="77777777" w:rsidTr="00D0583E">
        <w:tc>
          <w:tcPr>
            <w:tcW w:w="1687" w:type="dxa"/>
            <w:shd w:val="clear" w:color="auto" w:fill="auto"/>
          </w:tcPr>
          <w:p w14:paraId="170E57FD" w14:textId="77777777" w:rsidR="00A27E63" w:rsidRPr="00190EF6" w:rsidRDefault="00A27E63" w:rsidP="00A27E63">
            <w:pPr>
              <w:spacing w:before="20" w:after="20"/>
              <w:jc w:val="right"/>
              <w:rPr>
                <w:rFonts w:eastAsia="Times New Roman"/>
                <w:b/>
              </w:rPr>
            </w:pPr>
            <w:r w:rsidRPr="00190EF6">
              <w:rPr>
                <w:rFonts w:eastAsia="Times New Roman"/>
                <w:b/>
              </w:rPr>
              <w:lastRenderedPageBreak/>
              <w:t>Miscellaneous Information:</w:t>
            </w:r>
          </w:p>
        </w:tc>
        <w:tc>
          <w:tcPr>
            <w:tcW w:w="11695" w:type="dxa"/>
            <w:shd w:val="clear" w:color="auto" w:fill="auto"/>
          </w:tcPr>
          <w:p w14:paraId="1C524E58" w14:textId="1C3B28BD" w:rsidR="00A27E63" w:rsidRPr="00190EF6" w:rsidRDefault="00A27E63" w:rsidP="00A27E63">
            <w:pPr>
              <w:spacing w:before="20" w:after="20"/>
              <w:jc w:val="both"/>
            </w:pPr>
            <w:r>
              <w:t xml:space="preserve">Complimentary Guest Room Internet and parking is available. </w:t>
            </w:r>
          </w:p>
        </w:tc>
      </w:tr>
    </w:tbl>
    <w:p w14:paraId="34108727" w14:textId="77777777" w:rsidR="00447EAF" w:rsidRDefault="00447EAF" w:rsidP="000B1781">
      <w:pPr>
        <w:rPr>
          <w:b/>
          <w:bCs/>
          <w:sz w:val="28"/>
          <w:szCs w:val="28"/>
        </w:rPr>
      </w:pPr>
    </w:p>
    <w:sectPr w:rsidR="00447EAF" w:rsidSect="00246917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9D9C" w14:textId="77777777" w:rsidR="00E14AB2" w:rsidRDefault="00E14AB2" w:rsidP="00154969">
      <w:r>
        <w:separator/>
      </w:r>
    </w:p>
  </w:endnote>
  <w:endnote w:type="continuationSeparator" w:id="0">
    <w:p w14:paraId="78A20D91" w14:textId="77777777" w:rsidR="00E14AB2" w:rsidRDefault="00E14AB2" w:rsidP="001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5395" w14:textId="0C927A25" w:rsidR="003261EF" w:rsidRDefault="003261EF">
    <w:pPr>
      <w:pStyle w:val="Footer"/>
      <w:jc w:val="right"/>
    </w:pPr>
    <w:r>
      <w:t xml:space="preserve">TR-14 May 2023 | </w:t>
    </w:r>
    <w:sdt>
      <w:sdtPr>
        <w:id w:val="106937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8D9A326" w14:textId="77777777" w:rsidR="00990E30" w:rsidRDefault="0099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FFDF" w14:textId="77777777" w:rsidR="00E14AB2" w:rsidRDefault="00E14AB2" w:rsidP="00154969">
      <w:r>
        <w:separator/>
      </w:r>
    </w:p>
  </w:footnote>
  <w:footnote w:type="continuationSeparator" w:id="0">
    <w:p w14:paraId="7A3B227D" w14:textId="77777777" w:rsidR="00E14AB2" w:rsidRDefault="00E14AB2" w:rsidP="0015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AA38" w14:textId="04B71E03" w:rsidR="00AC7CCB" w:rsidRPr="004A77E4" w:rsidRDefault="007C3BB0" w:rsidP="00154969">
    <w:pPr>
      <w:pStyle w:val="Header"/>
      <w:jc w:val="right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EA5CB" wp14:editId="270FB38E">
          <wp:simplePos x="0" y="0"/>
          <wp:positionH relativeFrom="margin">
            <wp:posOffset>-175260</wp:posOffset>
          </wp:positionH>
          <wp:positionV relativeFrom="topMargin">
            <wp:posOffset>138430</wp:posOffset>
          </wp:positionV>
          <wp:extent cx="1421765" cy="720090"/>
          <wp:effectExtent l="0" t="0" r="6985" b="3810"/>
          <wp:wrapSquare wrapText="bothSides"/>
          <wp:docPr id="2" name="Picture 2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ALOGO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F43BB81" w:rsidRPr="00154969">
      <w:rPr>
        <w:rFonts w:ascii="Corbel" w:hAnsi="Corbel"/>
        <w:b/>
        <w:bCs/>
        <w:color w:val="FF0000"/>
      </w:rPr>
      <w:t>Telecommunications Industry Association</w:t>
    </w:r>
    <w:r w:rsidR="00154969" w:rsidRPr="00154969">
      <w:rPr>
        <w:rFonts w:ascii="Corbel" w:hAnsi="Corbel"/>
      </w:rPr>
      <w:br/>
    </w:r>
    <w:r w:rsidR="00154969" w:rsidRPr="00154969">
      <w:rPr>
        <w:rFonts w:ascii="Corbel" w:hAnsi="Corbel"/>
      </w:rPr>
      <w:tab/>
    </w:r>
    <w:r w:rsidR="00154969" w:rsidRPr="00154969">
      <w:rPr>
        <w:rFonts w:ascii="Corbel" w:hAnsi="Corbel"/>
      </w:rPr>
      <w:tab/>
    </w:r>
    <w:r w:rsidR="4F43BB81" w:rsidRPr="4F43BB81">
      <w:t xml:space="preserve">1310 North Courthouse Road, Suite 890 </w:t>
    </w:r>
  </w:p>
  <w:p w14:paraId="43036426" w14:textId="5A081FC1" w:rsidR="00154969" w:rsidRPr="004A77E4" w:rsidRDefault="00AC7CCB" w:rsidP="004654ED">
    <w:pPr>
      <w:pStyle w:val="Header"/>
      <w:jc w:val="right"/>
      <w:rPr>
        <w:rFonts w:cstheme="minorHAnsi"/>
        <w:lang w:val="fr-FR"/>
      </w:rPr>
    </w:pPr>
    <w:r w:rsidRPr="004A77E4">
      <w:rPr>
        <w:rFonts w:cstheme="minorHAnsi"/>
        <w:lang w:val="fr-FR"/>
      </w:rPr>
      <w:tab/>
    </w:r>
    <w:r w:rsidRPr="004A77E4">
      <w:rPr>
        <w:rFonts w:cstheme="minorHAnsi"/>
        <w:lang w:val="fr-FR"/>
      </w:rPr>
      <w:tab/>
    </w:r>
    <w:r w:rsidR="00154969" w:rsidRPr="004A77E4">
      <w:rPr>
        <w:rFonts w:cstheme="minorHAnsi"/>
        <w:lang w:val="fr-FR"/>
      </w:rPr>
      <w:t>Arlington, VA 22201</w:t>
    </w:r>
    <w:r w:rsidRPr="004A77E4">
      <w:rPr>
        <w:rFonts w:cstheme="minorHAnsi"/>
        <w:lang w:val="fr-FR"/>
      </w:rPr>
      <w:t xml:space="preserve"> </w:t>
    </w:r>
    <w:r w:rsidR="00BA7214" w:rsidRPr="004A77E4">
      <w:rPr>
        <w:rFonts w:cstheme="minorHAnsi"/>
        <w:lang w:val="fr-FR"/>
      </w:rPr>
      <w:t xml:space="preserve">| </w:t>
    </w:r>
    <w:r w:rsidRPr="004A77E4">
      <w:rPr>
        <w:rFonts w:cstheme="minorHAnsi"/>
        <w:lang w:val="fr-FR"/>
      </w:rPr>
      <w:t>w</w:t>
    </w:r>
    <w:r w:rsidR="00154969" w:rsidRPr="004A77E4">
      <w:rPr>
        <w:rFonts w:cstheme="minorHAnsi"/>
        <w:lang w:val="fr-FR"/>
      </w:rPr>
      <w:t xml:space="preserve">ww.tiaonline.org </w:t>
    </w:r>
  </w:p>
  <w:p w14:paraId="463CAA3A" w14:textId="56869B0E" w:rsidR="00154969" w:rsidRDefault="00154969" w:rsidP="00154969">
    <w:pPr>
      <w:pStyle w:val="Header"/>
      <w:jc w:val="right"/>
      <w:rPr>
        <w:lang w:val="fr-FR"/>
      </w:rPr>
    </w:pPr>
  </w:p>
  <w:p w14:paraId="04F757CF" w14:textId="3DB70148" w:rsidR="00BA425B" w:rsidRDefault="00BA425B" w:rsidP="00154969">
    <w:pPr>
      <w:pStyle w:val="Header"/>
      <w:jc w:val="right"/>
      <w:rPr>
        <w:lang w:val="fr-FR"/>
      </w:rPr>
    </w:pPr>
  </w:p>
  <w:p w14:paraId="498029D2" w14:textId="7FE95103" w:rsidR="007C3BB0" w:rsidRPr="00F732A0" w:rsidRDefault="007C3BB0" w:rsidP="007C3BB0">
    <w:pPr>
      <w:pStyle w:val="Header"/>
      <w:jc w:val="center"/>
      <w:rPr>
        <w:b/>
        <w:sz w:val="36"/>
        <w:szCs w:val="36"/>
      </w:rPr>
    </w:pPr>
    <w:r w:rsidRPr="00F732A0">
      <w:rPr>
        <w:b/>
        <w:sz w:val="36"/>
        <w:szCs w:val="36"/>
      </w:rPr>
      <w:t>TR-</w:t>
    </w:r>
    <w:r w:rsidR="00062ACB">
      <w:rPr>
        <w:b/>
        <w:sz w:val="36"/>
        <w:szCs w:val="36"/>
      </w:rPr>
      <w:t>14</w:t>
    </w:r>
    <w:r w:rsidRPr="00F732A0">
      <w:rPr>
        <w:b/>
        <w:sz w:val="36"/>
        <w:szCs w:val="36"/>
      </w:rPr>
      <w:t xml:space="preserve"> </w:t>
    </w:r>
    <w:r w:rsidR="008211F0">
      <w:rPr>
        <w:b/>
        <w:sz w:val="36"/>
        <w:szCs w:val="36"/>
      </w:rPr>
      <w:t>–</w:t>
    </w:r>
    <w:r w:rsidRPr="00F732A0">
      <w:rPr>
        <w:b/>
        <w:sz w:val="36"/>
        <w:szCs w:val="36"/>
      </w:rPr>
      <w:t xml:space="preserve"> </w:t>
    </w:r>
    <w:r w:rsidR="008211F0">
      <w:rPr>
        <w:b/>
        <w:sz w:val="36"/>
        <w:szCs w:val="36"/>
      </w:rPr>
      <w:t xml:space="preserve">Structural Standards for </w:t>
    </w:r>
    <w:r w:rsidR="00B57702">
      <w:rPr>
        <w:b/>
        <w:sz w:val="36"/>
        <w:szCs w:val="36"/>
      </w:rPr>
      <w:t>Steel Antenna Towers &amp; Antenna Support Structure</w:t>
    </w:r>
    <w:r w:rsidRPr="00F732A0">
      <w:rPr>
        <w:b/>
        <w:sz w:val="36"/>
        <w:szCs w:val="36"/>
      </w:rPr>
      <w:t xml:space="preserve"> </w:t>
    </w:r>
  </w:p>
  <w:p w14:paraId="54D13E52" w14:textId="6E767175" w:rsidR="007C3BB0" w:rsidRPr="00F732A0" w:rsidRDefault="007C3BB0" w:rsidP="007C3BB0">
    <w:pPr>
      <w:pStyle w:val="Header"/>
      <w:jc w:val="center"/>
      <w:rPr>
        <w:sz w:val="36"/>
        <w:szCs w:val="36"/>
      </w:rPr>
    </w:pPr>
    <w:r w:rsidRPr="00F732A0">
      <w:rPr>
        <w:sz w:val="36"/>
        <w:szCs w:val="36"/>
      </w:rPr>
      <w:t>Meeting Notice</w:t>
    </w:r>
  </w:p>
  <w:p w14:paraId="7A50B23E" w14:textId="2C83C130" w:rsidR="007C3BB0" w:rsidRPr="00F732A0" w:rsidRDefault="00C90378" w:rsidP="007C3BB0">
    <w:pPr>
      <w:pStyle w:val="Header"/>
      <w:pBdr>
        <w:bottom w:val="single" w:sz="4" w:space="1" w:color="auto"/>
      </w:pBdr>
      <w:spacing w:after="240"/>
      <w:jc w:val="center"/>
      <w:rPr>
        <w:b/>
      </w:rPr>
    </w:pPr>
    <w:r>
      <w:rPr>
        <w:b/>
        <w:sz w:val="36"/>
        <w:szCs w:val="36"/>
      </w:rPr>
      <w:t>May 17-18</w:t>
    </w:r>
    <w:r w:rsidR="004F20C0">
      <w:rPr>
        <w:b/>
        <w:sz w:val="36"/>
        <w:szCs w:val="36"/>
      </w:rPr>
      <w:t xml:space="preserve">, </w:t>
    </w:r>
    <w:r w:rsidR="007C3BB0">
      <w:rPr>
        <w:b/>
        <w:sz w:val="36"/>
        <w:szCs w:val="36"/>
      </w:rPr>
      <w:t>202</w:t>
    </w:r>
    <w:r>
      <w:rPr>
        <w:b/>
        <w:sz w:val="36"/>
        <w:szCs w:val="36"/>
      </w:rPr>
      <w:t>3</w:t>
    </w:r>
    <w:r w:rsidR="007C3BB0">
      <w:rPr>
        <w:b/>
        <w:sz w:val="36"/>
        <w:szCs w:val="36"/>
      </w:rPr>
      <w:t xml:space="preserve"> – </w:t>
    </w:r>
    <w:r>
      <w:rPr>
        <w:b/>
        <w:sz w:val="36"/>
        <w:szCs w:val="36"/>
      </w:rPr>
      <w:t>Tulsa, OK</w:t>
    </w:r>
  </w:p>
  <w:p w14:paraId="60C71107" w14:textId="4FE52870" w:rsidR="00BA425B" w:rsidRDefault="00BA425B" w:rsidP="00BA425B">
    <w:pPr>
      <w:pStyle w:val="Header"/>
      <w:jc w:val="center"/>
      <w:rPr>
        <w:lang w:val="fr-FR"/>
      </w:rPr>
    </w:pPr>
  </w:p>
  <w:p w14:paraId="254D23EF" w14:textId="77777777" w:rsidR="00BA425B" w:rsidRPr="00AC7CCB" w:rsidRDefault="00BA425B" w:rsidP="00154969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D2F"/>
    <w:multiLevelType w:val="multilevel"/>
    <w:tmpl w:val="8C7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5004D"/>
    <w:multiLevelType w:val="multilevel"/>
    <w:tmpl w:val="A132A054"/>
    <w:lvl w:ilvl="0">
      <w:start w:val="1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956505F"/>
    <w:multiLevelType w:val="multilevel"/>
    <w:tmpl w:val="111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F326D"/>
    <w:multiLevelType w:val="multilevel"/>
    <w:tmpl w:val="7F5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D7E95"/>
    <w:multiLevelType w:val="hybridMultilevel"/>
    <w:tmpl w:val="12FC8E7E"/>
    <w:lvl w:ilvl="0" w:tplc="AC3635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37E0"/>
    <w:multiLevelType w:val="multilevel"/>
    <w:tmpl w:val="A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D1CB2"/>
    <w:multiLevelType w:val="multilevel"/>
    <w:tmpl w:val="1AC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803306"/>
    <w:multiLevelType w:val="hybridMultilevel"/>
    <w:tmpl w:val="2048F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81758"/>
    <w:multiLevelType w:val="multilevel"/>
    <w:tmpl w:val="99A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BB5D36"/>
    <w:multiLevelType w:val="multilevel"/>
    <w:tmpl w:val="5FC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A639E"/>
    <w:multiLevelType w:val="hybridMultilevel"/>
    <w:tmpl w:val="D37611C0"/>
    <w:lvl w:ilvl="0" w:tplc="3052344C">
      <w:start w:val="68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96AA3"/>
    <w:multiLevelType w:val="multilevel"/>
    <w:tmpl w:val="A132A054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56F55C6"/>
    <w:multiLevelType w:val="hybridMultilevel"/>
    <w:tmpl w:val="C6B8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0CFB"/>
    <w:multiLevelType w:val="multilevel"/>
    <w:tmpl w:val="502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3F33B5"/>
    <w:multiLevelType w:val="multilevel"/>
    <w:tmpl w:val="4E44F3F6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72921FF"/>
    <w:multiLevelType w:val="multilevel"/>
    <w:tmpl w:val="D13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5E0A90"/>
    <w:multiLevelType w:val="multilevel"/>
    <w:tmpl w:val="EAC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3340086">
    <w:abstractNumId w:val="4"/>
  </w:num>
  <w:num w:numId="2" w16cid:durableId="1143694613">
    <w:abstractNumId w:val="3"/>
  </w:num>
  <w:num w:numId="3" w16cid:durableId="371611333">
    <w:abstractNumId w:val="9"/>
  </w:num>
  <w:num w:numId="4" w16cid:durableId="1245457550">
    <w:abstractNumId w:val="13"/>
  </w:num>
  <w:num w:numId="5" w16cid:durableId="401606030">
    <w:abstractNumId w:val="2"/>
  </w:num>
  <w:num w:numId="6" w16cid:durableId="411463546">
    <w:abstractNumId w:val="6"/>
  </w:num>
  <w:num w:numId="7" w16cid:durableId="1932935341">
    <w:abstractNumId w:val="8"/>
  </w:num>
  <w:num w:numId="8" w16cid:durableId="1670718480">
    <w:abstractNumId w:val="16"/>
  </w:num>
  <w:num w:numId="9" w16cid:durableId="1008601368">
    <w:abstractNumId w:val="5"/>
  </w:num>
  <w:num w:numId="10" w16cid:durableId="410465399">
    <w:abstractNumId w:val="12"/>
  </w:num>
  <w:num w:numId="11" w16cid:durableId="1614165874">
    <w:abstractNumId w:val="15"/>
  </w:num>
  <w:num w:numId="12" w16cid:durableId="1026060643">
    <w:abstractNumId w:val="0"/>
  </w:num>
  <w:num w:numId="13" w16cid:durableId="147857048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436448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16626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177973">
    <w:abstractNumId w:val="7"/>
  </w:num>
  <w:num w:numId="17" w16cid:durableId="1232889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69"/>
    <w:rsid w:val="000529C0"/>
    <w:rsid w:val="00057A11"/>
    <w:rsid w:val="00062ACB"/>
    <w:rsid w:val="00062B31"/>
    <w:rsid w:val="000B1781"/>
    <w:rsid w:val="00123EA2"/>
    <w:rsid w:val="00145B36"/>
    <w:rsid w:val="00154969"/>
    <w:rsid w:val="00172729"/>
    <w:rsid w:val="001766B3"/>
    <w:rsid w:val="00182C5C"/>
    <w:rsid w:val="00190EF6"/>
    <w:rsid w:val="001A3990"/>
    <w:rsid w:val="001C7E3B"/>
    <w:rsid w:val="001D05B4"/>
    <w:rsid w:val="001D2991"/>
    <w:rsid w:val="001F2604"/>
    <w:rsid w:val="00201BB3"/>
    <w:rsid w:val="002100BD"/>
    <w:rsid w:val="00246917"/>
    <w:rsid w:val="002A5147"/>
    <w:rsid w:val="002A6758"/>
    <w:rsid w:val="00310B3A"/>
    <w:rsid w:val="003261EF"/>
    <w:rsid w:val="00345313"/>
    <w:rsid w:val="0035685B"/>
    <w:rsid w:val="00361334"/>
    <w:rsid w:val="00365A44"/>
    <w:rsid w:val="00383F92"/>
    <w:rsid w:val="0038590E"/>
    <w:rsid w:val="00396EC7"/>
    <w:rsid w:val="003C4C11"/>
    <w:rsid w:val="003D50AE"/>
    <w:rsid w:val="003E7D7E"/>
    <w:rsid w:val="003F432F"/>
    <w:rsid w:val="003F45DA"/>
    <w:rsid w:val="004178EF"/>
    <w:rsid w:val="004400B0"/>
    <w:rsid w:val="00447EAF"/>
    <w:rsid w:val="004654ED"/>
    <w:rsid w:val="0047160F"/>
    <w:rsid w:val="004A77E4"/>
    <w:rsid w:val="004B0FB2"/>
    <w:rsid w:val="004F20C0"/>
    <w:rsid w:val="00537C26"/>
    <w:rsid w:val="00550BBF"/>
    <w:rsid w:val="0056372A"/>
    <w:rsid w:val="00576399"/>
    <w:rsid w:val="005A6EA4"/>
    <w:rsid w:val="005D4D26"/>
    <w:rsid w:val="005D5270"/>
    <w:rsid w:val="005F374B"/>
    <w:rsid w:val="00634F8F"/>
    <w:rsid w:val="006714B9"/>
    <w:rsid w:val="006802B6"/>
    <w:rsid w:val="006C1D92"/>
    <w:rsid w:val="006E1184"/>
    <w:rsid w:val="00741B76"/>
    <w:rsid w:val="00750F45"/>
    <w:rsid w:val="00767CA1"/>
    <w:rsid w:val="007764DE"/>
    <w:rsid w:val="00787626"/>
    <w:rsid w:val="00792843"/>
    <w:rsid w:val="007B44EC"/>
    <w:rsid w:val="007C3BB0"/>
    <w:rsid w:val="00820ED2"/>
    <w:rsid w:val="008211F0"/>
    <w:rsid w:val="00832302"/>
    <w:rsid w:val="00845F33"/>
    <w:rsid w:val="00847AC2"/>
    <w:rsid w:val="00864F4D"/>
    <w:rsid w:val="00891C17"/>
    <w:rsid w:val="008C0878"/>
    <w:rsid w:val="008C1F90"/>
    <w:rsid w:val="008C4EE3"/>
    <w:rsid w:val="008F72A6"/>
    <w:rsid w:val="00902F62"/>
    <w:rsid w:val="009074CB"/>
    <w:rsid w:val="009124CD"/>
    <w:rsid w:val="00921567"/>
    <w:rsid w:val="00950E02"/>
    <w:rsid w:val="009629FA"/>
    <w:rsid w:val="00962C51"/>
    <w:rsid w:val="00965DB7"/>
    <w:rsid w:val="00990E30"/>
    <w:rsid w:val="00995BD6"/>
    <w:rsid w:val="009C0D29"/>
    <w:rsid w:val="009C5936"/>
    <w:rsid w:val="009D08B9"/>
    <w:rsid w:val="009F2299"/>
    <w:rsid w:val="00A0730B"/>
    <w:rsid w:val="00A27E63"/>
    <w:rsid w:val="00A45670"/>
    <w:rsid w:val="00A4595D"/>
    <w:rsid w:val="00A65968"/>
    <w:rsid w:val="00A72C28"/>
    <w:rsid w:val="00A81F82"/>
    <w:rsid w:val="00AA3D58"/>
    <w:rsid w:val="00AC7CCB"/>
    <w:rsid w:val="00AD21CF"/>
    <w:rsid w:val="00AD2678"/>
    <w:rsid w:val="00AF29A3"/>
    <w:rsid w:val="00AF47C8"/>
    <w:rsid w:val="00AF5D19"/>
    <w:rsid w:val="00B4681D"/>
    <w:rsid w:val="00B555DA"/>
    <w:rsid w:val="00B57702"/>
    <w:rsid w:val="00B60DF7"/>
    <w:rsid w:val="00B822E8"/>
    <w:rsid w:val="00B87613"/>
    <w:rsid w:val="00B90458"/>
    <w:rsid w:val="00BA425B"/>
    <w:rsid w:val="00BA7214"/>
    <w:rsid w:val="00C2444F"/>
    <w:rsid w:val="00C84B02"/>
    <w:rsid w:val="00C8688E"/>
    <w:rsid w:val="00C90378"/>
    <w:rsid w:val="00CA2E28"/>
    <w:rsid w:val="00CE2559"/>
    <w:rsid w:val="00D0583E"/>
    <w:rsid w:val="00D10A02"/>
    <w:rsid w:val="00D10B6E"/>
    <w:rsid w:val="00D13279"/>
    <w:rsid w:val="00D32696"/>
    <w:rsid w:val="00D42CD4"/>
    <w:rsid w:val="00D45AC4"/>
    <w:rsid w:val="00D65D11"/>
    <w:rsid w:val="00D75527"/>
    <w:rsid w:val="00D77A15"/>
    <w:rsid w:val="00D8493C"/>
    <w:rsid w:val="00DB1936"/>
    <w:rsid w:val="00DD1555"/>
    <w:rsid w:val="00DD3AF8"/>
    <w:rsid w:val="00DD50BD"/>
    <w:rsid w:val="00DE40FE"/>
    <w:rsid w:val="00E14AB2"/>
    <w:rsid w:val="00E1757A"/>
    <w:rsid w:val="00E25AFA"/>
    <w:rsid w:val="00E424C7"/>
    <w:rsid w:val="00E44007"/>
    <w:rsid w:val="00E47349"/>
    <w:rsid w:val="00E60913"/>
    <w:rsid w:val="00E63982"/>
    <w:rsid w:val="00EA51C7"/>
    <w:rsid w:val="00EB41E8"/>
    <w:rsid w:val="00EB5AD3"/>
    <w:rsid w:val="00EE1DAF"/>
    <w:rsid w:val="00EE377B"/>
    <w:rsid w:val="00F11DAB"/>
    <w:rsid w:val="00F2401E"/>
    <w:rsid w:val="00F50C0F"/>
    <w:rsid w:val="00F64385"/>
    <w:rsid w:val="00FA3176"/>
    <w:rsid w:val="00FA3214"/>
    <w:rsid w:val="00FD3E83"/>
    <w:rsid w:val="00FE303D"/>
    <w:rsid w:val="4F43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1D19"/>
  <w15:chartTrackingRefBased/>
  <w15:docId w15:val="{F35CF5DE-5967-4807-A01E-025D8CB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69"/>
  </w:style>
  <w:style w:type="paragraph" w:styleId="Footer">
    <w:name w:val="footer"/>
    <w:basedOn w:val="Normal"/>
    <w:link w:val="FooterChar"/>
    <w:uiPriority w:val="99"/>
    <w:unhideWhenUsed/>
    <w:rsid w:val="00154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6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semiHidden/>
    <w:rsid w:val="002A6758"/>
    <w:pPr>
      <w:spacing w:before="120" w:after="120"/>
    </w:pPr>
    <w:rPr>
      <w:rFonts w:ascii="Arial" w:eastAsia="Times New Roman" w:hAnsi="Arial" w:cs="Times New Roman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2A6758"/>
    <w:pPr>
      <w:spacing w:after="24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6758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able">
    <w:name w:val="Table"/>
    <w:rsid w:val="002A6758"/>
    <w:pPr>
      <w:tabs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6758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styleId="Hyperlink">
    <w:name w:val="Hyperlink"/>
    <w:rsid w:val="002A67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F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26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995BD6"/>
    <w:pPr>
      <w:ind w:left="720"/>
    </w:pPr>
  </w:style>
  <w:style w:type="character" w:customStyle="1" w:styleId="inv-subject">
    <w:name w:val="inv-subject"/>
    <w:basedOn w:val="DefaultParagraphFont"/>
    <w:rsid w:val="00995BD6"/>
  </w:style>
  <w:style w:type="paragraph" w:customStyle="1" w:styleId="baseStyle">
    <w:name w:val="baseStyle"/>
    <w:rsid w:val="008C0878"/>
    <w:pPr>
      <w:spacing w:after="180" w:line="240" w:lineRule="auto"/>
    </w:pPr>
    <w:rPr>
      <w:rFonts w:ascii="Times New Roman" w:eastAsia="SimSun" w:hAnsi="Times New Roman" w:cs="Times New Roman"/>
      <w:noProof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29F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thibideau@tiaonlin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.ply@ets-pllc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awkins@pjfweb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10.safelinks.protection.outlook.com/?url=https%3A%2F%2Fwww.marriott.com%2Fevents%2Fstart.mi%3Fid%3D1679236821750%26key%3DGRP&amp;data=05%7C01%7CMeagan.Runne%40atriumhospitality.com%7Ca8de83fbd6b44c2c952808db2888217c%7C2a940736346f4580951607fd1e7cc52d%7C0%7C0%7C638148337370662210%7CUnknown%7CTWFpbGZsb3d8eyJWIjoiMC4wLjAwMDAiLCJQIjoiV2luMzIiLCJBTiI6Ik1haWwiLCJXVCI6Mn0%3D%7C3000%7C%7C%7C&amp;sdata=Ow1rBaG0jx2TQbWs3zRCCFBih9yNp%2Bj%2FHeeeiarJQh8%3D&amp;reserved=0" TargetMode="External"/><Relationship Id="rId10" Type="http://schemas.openxmlformats.org/officeDocument/2006/relationships/hyperlink" Target="mailto:Bryan.Lanier@AmericanTower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rriott.com/hotels/travel/tulbr-renaissance-tulsa-hotel-and-convention-cen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0DA61435EC24AAA4120C7E0E698B9" ma:contentTypeVersion="10" ma:contentTypeDescription="Create a new document." ma:contentTypeScope="" ma:versionID="9879ef3c8c21da7832c959d411f9ab0e">
  <xsd:schema xmlns:xsd="http://www.w3.org/2001/XMLSchema" xmlns:xs="http://www.w3.org/2001/XMLSchema" xmlns:p="http://schemas.microsoft.com/office/2006/metadata/properties" xmlns:ns3="d6113ca9-75da-4bd1-a69b-ff86c9435bd8" targetNamespace="http://schemas.microsoft.com/office/2006/metadata/properties" ma:root="true" ma:fieldsID="890f0d70d96941a9a39f5d83883f9dcc" ns3:_="">
    <xsd:import namespace="d6113ca9-75da-4bd1-a69b-ff86c9435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13ca9-75da-4bd1-a69b-ff86c94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D3F50-6ABC-4A3D-B9AB-56B49EFCE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1E2AB-91FE-459E-93ED-78FDE9BF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13ca9-75da-4bd1-a69b-ff86c9435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4E830-BDB4-46CC-BD50-7707C88B3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Brown</dc:creator>
  <cp:keywords/>
  <dc:description/>
  <cp:lastModifiedBy>Cheryl Thibideau</cp:lastModifiedBy>
  <cp:revision>4</cp:revision>
  <dcterms:created xsi:type="dcterms:W3CDTF">2023-03-15T16:25:00Z</dcterms:created>
  <dcterms:modified xsi:type="dcterms:W3CDTF">2023-03-20T13:14:00Z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0x01010041B0DA61435EC24AAA4120C7E0E698B9</vt:lpwstr>
  </property>
</Properties>
</file>