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3463" w14:textId="410786AB" w:rsidR="00D5369D" w:rsidRDefault="00497CF8">
      <w:r>
        <w:t>Item 26. Examples of press releases, website or other evidence of adequate notice(See item 23)</w:t>
      </w:r>
    </w:p>
    <w:sectPr w:rsidR="00D5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F8"/>
    <w:rsid w:val="00497CF8"/>
    <w:rsid w:val="00D5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EDF4"/>
  <w15:chartTrackingRefBased/>
  <w15:docId w15:val="{38EF6F88-DC31-46C7-8CEE-1DA90523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Jenkins</dc:creator>
  <cp:keywords/>
  <dc:description/>
  <cp:lastModifiedBy>Teesha Jenkins</cp:lastModifiedBy>
  <cp:revision>1</cp:revision>
  <dcterms:created xsi:type="dcterms:W3CDTF">2022-09-22T17:26:00Z</dcterms:created>
  <dcterms:modified xsi:type="dcterms:W3CDTF">2022-09-22T17:28:00Z</dcterms:modified>
</cp:coreProperties>
</file>